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84A9B" w14:textId="77777777" w:rsidR="00A964B9" w:rsidRPr="00645810" w:rsidRDefault="00A964B9" w:rsidP="00A964B9">
      <w:pPr>
        <w:spacing w:after="160" w:line="259" w:lineRule="auto"/>
        <w:contextualSpacing w:val="0"/>
        <w:jc w:val="both"/>
        <w:rPr>
          <w:b/>
          <w:sz w:val="24"/>
          <w:szCs w:val="24"/>
        </w:rPr>
      </w:pPr>
      <w:r w:rsidRPr="00645810">
        <w:rPr>
          <w:b/>
          <w:sz w:val="24"/>
          <w:szCs w:val="24"/>
        </w:rPr>
        <w:t xml:space="preserve">Reason for Policy </w:t>
      </w:r>
    </w:p>
    <w:p w14:paraId="7B9F9E6A" w14:textId="77777777" w:rsidR="00947E30" w:rsidRDefault="00947E30" w:rsidP="00A964B9">
      <w:pPr>
        <w:spacing w:after="160" w:line="259" w:lineRule="auto"/>
        <w:contextualSpacing w:val="0"/>
        <w:jc w:val="both"/>
        <w:rPr>
          <w:rFonts w:ascii="Calibri" w:eastAsia="Calibri" w:hAnsi="Calibri" w:cs="Times New Roman"/>
          <w:sz w:val="24"/>
        </w:rPr>
      </w:pPr>
      <w:r w:rsidRPr="00947E30">
        <w:rPr>
          <w:rFonts w:ascii="Calibri" w:eastAsia="Calibri" w:hAnsi="Calibri" w:cs="Times New Roman"/>
          <w:sz w:val="24"/>
        </w:rPr>
        <w:t>This policy expresses the University’s position on political activities of employees.</w:t>
      </w:r>
    </w:p>
    <w:p w14:paraId="431E470A" w14:textId="03C6C5D1" w:rsidR="00A964B9" w:rsidRPr="00645810" w:rsidRDefault="00A964B9" w:rsidP="00A964B9">
      <w:pPr>
        <w:spacing w:after="160" w:line="259" w:lineRule="auto"/>
        <w:contextualSpacing w:val="0"/>
        <w:jc w:val="both"/>
        <w:rPr>
          <w:sz w:val="24"/>
          <w:szCs w:val="24"/>
        </w:rPr>
      </w:pP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p>
    <w:p w14:paraId="7B981568" w14:textId="77777777" w:rsidR="000A0EEB" w:rsidRPr="00645810" w:rsidRDefault="000A0EEB" w:rsidP="000A0EEB">
      <w:pPr>
        <w:spacing w:after="160" w:line="259" w:lineRule="auto"/>
        <w:contextualSpacing w:val="0"/>
        <w:jc w:val="both"/>
        <w:rPr>
          <w:b/>
          <w:sz w:val="24"/>
          <w:szCs w:val="24"/>
        </w:rPr>
      </w:pPr>
      <w:r w:rsidRPr="00645810">
        <w:rPr>
          <w:b/>
          <w:sz w:val="24"/>
          <w:szCs w:val="24"/>
        </w:rPr>
        <w:t>Entities Affected by this Policy</w:t>
      </w:r>
    </w:p>
    <w:p w14:paraId="2A56190E" w14:textId="77777777" w:rsidR="00947E30" w:rsidRDefault="00947E30" w:rsidP="000A0EEB">
      <w:pPr>
        <w:spacing w:after="160" w:line="259" w:lineRule="auto"/>
        <w:contextualSpacing w:val="0"/>
        <w:jc w:val="both"/>
        <w:rPr>
          <w:sz w:val="24"/>
          <w:szCs w:val="24"/>
        </w:rPr>
      </w:pPr>
      <w:r w:rsidRPr="00947E30">
        <w:rPr>
          <w:sz w:val="24"/>
          <w:szCs w:val="24"/>
        </w:rPr>
        <w:t>All employees of the university.</w:t>
      </w:r>
    </w:p>
    <w:p w14:paraId="313460EE" w14:textId="46B50A39" w:rsidR="000A0EEB" w:rsidRPr="00645810" w:rsidRDefault="000A0EEB" w:rsidP="000A0EEB">
      <w:pPr>
        <w:spacing w:after="160" w:line="259" w:lineRule="auto"/>
        <w:contextualSpacing w:val="0"/>
        <w:jc w:val="both"/>
        <w:rPr>
          <w:sz w:val="24"/>
          <w:szCs w:val="24"/>
        </w:rPr>
      </w:pP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p>
    <w:p w14:paraId="41776114" w14:textId="77777777" w:rsidR="000A0EEB" w:rsidRPr="00645810" w:rsidRDefault="000A0EEB" w:rsidP="000A0EEB">
      <w:pPr>
        <w:spacing w:after="160" w:line="259" w:lineRule="auto"/>
        <w:contextualSpacing w:val="0"/>
        <w:jc w:val="both"/>
        <w:rPr>
          <w:b/>
          <w:sz w:val="24"/>
          <w:szCs w:val="24"/>
        </w:rPr>
      </w:pPr>
      <w:r w:rsidRPr="00645810">
        <w:rPr>
          <w:b/>
          <w:sz w:val="24"/>
          <w:szCs w:val="24"/>
        </w:rPr>
        <w:t>Web Site Address for this Policy</w:t>
      </w:r>
    </w:p>
    <w:p w14:paraId="44779589" w14:textId="77777777" w:rsidR="00947E30" w:rsidRDefault="00645810" w:rsidP="000A0EEB">
      <w:pPr>
        <w:spacing w:after="160" w:line="259" w:lineRule="auto"/>
        <w:contextualSpacing w:val="0"/>
        <w:jc w:val="both"/>
        <w:rPr>
          <w:sz w:val="24"/>
          <w:szCs w:val="24"/>
        </w:rPr>
      </w:pPr>
      <w:r w:rsidRPr="00947E30">
        <w:rPr>
          <w:sz w:val="24"/>
          <w:szCs w:val="24"/>
        </w:rPr>
        <w:t>[Provided by Office of the University Secretary after policy is posted online]</w:t>
      </w:r>
      <w:r w:rsidR="00947E30">
        <w:rPr>
          <w:sz w:val="24"/>
          <w:szCs w:val="24"/>
        </w:rPr>
        <w:t xml:space="preserve">  </w:t>
      </w:r>
    </w:p>
    <w:p w14:paraId="1BD41535" w14:textId="3570D3BC" w:rsidR="000A0EEB" w:rsidRPr="00947E30" w:rsidRDefault="00947E30" w:rsidP="000A0EEB">
      <w:pPr>
        <w:spacing w:after="160" w:line="259" w:lineRule="auto"/>
        <w:contextualSpacing w:val="0"/>
        <w:jc w:val="both"/>
        <w:rPr>
          <w:i/>
          <w:iCs/>
          <w:sz w:val="24"/>
          <w:szCs w:val="24"/>
        </w:rPr>
      </w:pPr>
      <w:r w:rsidRPr="00947E30">
        <w:rPr>
          <w:i/>
          <w:iCs/>
          <w:sz w:val="24"/>
          <w:szCs w:val="24"/>
        </w:rPr>
        <w:t xml:space="preserve">Current link: </w:t>
      </w:r>
      <w:hyperlink r:id="rId7" w:history="1">
        <w:r w:rsidRPr="00947E30">
          <w:rPr>
            <w:rStyle w:val="Hyperlink"/>
            <w:i/>
            <w:iCs/>
            <w:sz w:val="24"/>
            <w:szCs w:val="24"/>
          </w:rPr>
          <w:t>https://policies.uoregon.edu/vol-5-human-resources/ch-11-human-resources-other/political-activities</w:t>
        </w:r>
      </w:hyperlink>
      <w:r w:rsidRPr="00947E30">
        <w:rPr>
          <w:i/>
          <w:iCs/>
          <w:sz w:val="24"/>
          <w:szCs w:val="24"/>
        </w:rPr>
        <w:t xml:space="preserve"> </w:t>
      </w:r>
    </w:p>
    <w:p w14:paraId="323E5D09" w14:textId="77777777" w:rsidR="000A0EEB" w:rsidRPr="00645810" w:rsidRDefault="000A0EEB" w:rsidP="000A0EEB">
      <w:pPr>
        <w:spacing w:after="160" w:line="259" w:lineRule="auto"/>
        <w:contextualSpacing w:val="0"/>
        <w:jc w:val="both"/>
        <w:rPr>
          <w:sz w:val="24"/>
          <w:szCs w:val="24"/>
        </w:rPr>
      </w:pP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p>
    <w:p w14:paraId="1D83E063" w14:textId="77777777" w:rsidR="000A0EEB" w:rsidRPr="00645810" w:rsidRDefault="000509CC" w:rsidP="000A0EEB">
      <w:pPr>
        <w:spacing w:after="160" w:line="259" w:lineRule="auto"/>
        <w:contextualSpacing w:val="0"/>
        <w:jc w:val="both"/>
        <w:rPr>
          <w:b/>
          <w:sz w:val="24"/>
          <w:szCs w:val="24"/>
        </w:rPr>
      </w:pPr>
      <w:r w:rsidRPr="00645810">
        <w:rPr>
          <w:b/>
          <w:sz w:val="24"/>
          <w:szCs w:val="24"/>
        </w:rPr>
        <w:t>Responsible Office</w:t>
      </w:r>
    </w:p>
    <w:p w14:paraId="3B0D353F" w14:textId="04C07B05" w:rsidR="00E314A3" w:rsidRDefault="009C504C" w:rsidP="00E314A3">
      <w:pPr>
        <w:jc w:val="both"/>
        <w:rPr>
          <w:sz w:val="24"/>
          <w:szCs w:val="24"/>
          <w:u w:val="single"/>
        </w:rPr>
      </w:pPr>
      <w:r>
        <w:rPr>
          <w:rFonts w:cs="Calibri"/>
          <w:sz w:val="24"/>
          <w:szCs w:val="24"/>
        </w:rPr>
        <w:t xml:space="preserve">For questions about this policy, please contact the </w:t>
      </w:r>
      <w:r w:rsidRPr="00D2744B">
        <w:rPr>
          <w:rFonts w:cs="Calibri"/>
          <w:sz w:val="24"/>
          <w:szCs w:val="24"/>
        </w:rPr>
        <w:t xml:space="preserve">Office of </w:t>
      </w:r>
      <w:r w:rsidR="00947E30" w:rsidRPr="005A779D">
        <w:t>Government and Community Relations at 541-346-5020</w:t>
      </w:r>
      <w:r w:rsidR="00E314A3">
        <w:t xml:space="preserve">, </w:t>
      </w:r>
      <w:hyperlink r:id="rId8" w:history="1">
        <w:r w:rsidR="00E314A3" w:rsidRPr="00E314A3">
          <w:rPr>
            <w:rStyle w:val="Hyperlink"/>
            <w:rFonts w:cs="Calibri"/>
            <w:sz w:val="24"/>
            <w:szCs w:val="24"/>
            <w:u w:val="none"/>
          </w:rPr>
          <w:t>talutz@uoregon.edu</w:t>
        </w:r>
      </w:hyperlink>
      <w:r w:rsidR="00E314A3">
        <w:rPr>
          <w:rFonts w:cs="Calibri"/>
          <w:sz w:val="24"/>
          <w:szCs w:val="24"/>
        </w:rPr>
        <w:t>.</w:t>
      </w:r>
      <w:r w:rsidR="000A0EEB" w:rsidRPr="00E314A3">
        <w:rPr>
          <w:sz w:val="24"/>
          <w:szCs w:val="24"/>
        </w:rPr>
        <w:tab/>
      </w:r>
    </w:p>
    <w:p w14:paraId="36B51F50" w14:textId="54FAF81C" w:rsidR="000A0EEB" w:rsidRPr="00645810" w:rsidRDefault="000A0EEB" w:rsidP="00E314A3">
      <w:pPr>
        <w:jc w:val="both"/>
        <w:rPr>
          <w:sz w:val="24"/>
          <w:szCs w:val="24"/>
        </w:rPr>
      </w:pP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p>
    <w:p w14:paraId="5D7F1D1F" w14:textId="77777777" w:rsidR="00A964B9" w:rsidRPr="00645810" w:rsidRDefault="000A0EEB" w:rsidP="000A0EEB">
      <w:pPr>
        <w:spacing w:after="160" w:line="259" w:lineRule="auto"/>
        <w:contextualSpacing w:val="0"/>
        <w:jc w:val="both"/>
        <w:rPr>
          <w:b/>
          <w:sz w:val="24"/>
          <w:szCs w:val="24"/>
        </w:rPr>
      </w:pPr>
      <w:r w:rsidRPr="00645810">
        <w:rPr>
          <w:b/>
          <w:sz w:val="24"/>
          <w:szCs w:val="24"/>
        </w:rPr>
        <w:t xml:space="preserve">Enactment </w:t>
      </w:r>
      <w:r w:rsidR="00AD50E4" w:rsidRPr="00645810">
        <w:rPr>
          <w:b/>
          <w:sz w:val="24"/>
          <w:szCs w:val="24"/>
        </w:rPr>
        <w:t>&amp; Revision History</w:t>
      </w:r>
    </w:p>
    <w:p w14:paraId="55EDFC61" w14:textId="74D3410E" w:rsidR="001C2D71" w:rsidRDefault="001C2D71" w:rsidP="00947E30">
      <w:pPr>
        <w:spacing w:after="160" w:line="259" w:lineRule="auto"/>
        <w:contextualSpacing w:val="0"/>
        <w:jc w:val="both"/>
        <w:rPr>
          <w:rFonts w:cs="Arial"/>
          <w:sz w:val="24"/>
          <w:szCs w:val="24"/>
        </w:rPr>
      </w:pPr>
      <w:r>
        <w:rPr>
          <w:rFonts w:cs="Arial"/>
          <w:sz w:val="24"/>
          <w:szCs w:val="24"/>
        </w:rPr>
        <w:t>April 6, 2026 – Recommended policy updates (pending public comment period)</w:t>
      </w:r>
    </w:p>
    <w:p w14:paraId="028A877D" w14:textId="06C886F4" w:rsidR="00947E30" w:rsidRPr="00947E30" w:rsidRDefault="00947E30" w:rsidP="00947E30">
      <w:pPr>
        <w:spacing w:after="160" w:line="259" w:lineRule="auto"/>
        <w:contextualSpacing w:val="0"/>
        <w:jc w:val="both"/>
        <w:rPr>
          <w:rFonts w:cs="Arial"/>
          <w:sz w:val="24"/>
          <w:szCs w:val="24"/>
        </w:rPr>
      </w:pPr>
      <w:r w:rsidRPr="00947E30">
        <w:rPr>
          <w:rFonts w:cs="Arial"/>
          <w:sz w:val="24"/>
          <w:szCs w:val="24"/>
        </w:rPr>
        <w:t>February</w:t>
      </w:r>
      <w:r>
        <w:rPr>
          <w:rFonts w:cs="Arial"/>
          <w:sz w:val="24"/>
          <w:szCs w:val="24"/>
        </w:rPr>
        <w:t xml:space="preserve"> </w:t>
      </w:r>
      <w:r w:rsidRPr="00947E30">
        <w:rPr>
          <w:rFonts w:cs="Arial"/>
          <w:sz w:val="24"/>
          <w:szCs w:val="24"/>
        </w:rPr>
        <w:t>25</w:t>
      </w:r>
      <w:r>
        <w:rPr>
          <w:rFonts w:cs="Arial"/>
          <w:sz w:val="24"/>
          <w:szCs w:val="24"/>
        </w:rPr>
        <w:t>,</w:t>
      </w:r>
      <w:r w:rsidRPr="00947E30">
        <w:rPr>
          <w:rFonts w:cs="Arial"/>
          <w:sz w:val="24"/>
          <w:szCs w:val="24"/>
        </w:rPr>
        <w:t xml:space="preserve"> 2016 </w:t>
      </w:r>
      <w:r>
        <w:rPr>
          <w:rFonts w:cs="Arial"/>
          <w:sz w:val="24"/>
          <w:szCs w:val="24"/>
        </w:rPr>
        <w:t xml:space="preserve">– </w:t>
      </w:r>
      <w:r w:rsidRPr="00947E30">
        <w:rPr>
          <w:rFonts w:cs="Arial"/>
          <w:sz w:val="24"/>
          <w:szCs w:val="24"/>
        </w:rPr>
        <w:t>Renumbered as UO Policy V.11.01 and related resource to ORS Chapter 260 added</w:t>
      </w:r>
    </w:p>
    <w:p w14:paraId="177C6F40" w14:textId="1D4BF1B1" w:rsidR="00947E30" w:rsidRPr="00947E30" w:rsidRDefault="00947E30" w:rsidP="00947E30">
      <w:pPr>
        <w:spacing w:after="160" w:line="259" w:lineRule="auto"/>
        <w:contextualSpacing w:val="0"/>
        <w:jc w:val="both"/>
        <w:rPr>
          <w:rFonts w:cs="Arial"/>
          <w:sz w:val="24"/>
          <w:szCs w:val="24"/>
        </w:rPr>
      </w:pPr>
      <w:r w:rsidRPr="00947E30">
        <w:rPr>
          <w:rFonts w:cs="Arial"/>
          <w:sz w:val="24"/>
          <w:szCs w:val="24"/>
        </w:rPr>
        <w:t>September</w:t>
      </w:r>
      <w:r>
        <w:rPr>
          <w:rFonts w:cs="Arial"/>
          <w:sz w:val="24"/>
          <w:szCs w:val="24"/>
        </w:rPr>
        <w:t xml:space="preserve"> 2,</w:t>
      </w:r>
      <w:r w:rsidRPr="00947E30">
        <w:rPr>
          <w:rFonts w:cs="Arial"/>
          <w:sz w:val="24"/>
          <w:szCs w:val="24"/>
        </w:rPr>
        <w:t xml:space="preserve"> 2015 </w:t>
      </w:r>
      <w:r>
        <w:rPr>
          <w:rFonts w:cs="Arial"/>
          <w:sz w:val="24"/>
          <w:szCs w:val="24"/>
        </w:rPr>
        <w:t xml:space="preserve">– </w:t>
      </w:r>
      <w:r w:rsidRPr="00947E30">
        <w:rPr>
          <w:rFonts w:cs="Arial"/>
          <w:sz w:val="24"/>
          <w:szCs w:val="24"/>
        </w:rPr>
        <w:t>Technical revisions enacted by the university secretary</w:t>
      </w:r>
    </w:p>
    <w:p w14:paraId="1BC49D81" w14:textId="2EE2EA22" w:rsidR="00947E30" w:rsidRPr="00947E30" w:rsidRDefault="00947E30" w:rsidP="00947E30">
      <w:pPr>
        <w:spacing w:after="160" w:line="259" w:lineRule="auto"/>
        <w:contextualSpacing w:val="0"/>
        <w:jc w:val="both"/>
        <w:rPr>
          <w:rFonts w:cs="Arial"/>
          <w:sz w:val="24"/>
          <w:szCs w:val="24"/>
        </w:rPr>
      </w:pPr>
      <w:r w:rsidRPr="00947E30">
        <w:rPr>
          <w:rFonts w:cs="Arial"/>
          <w:sz w:val="24"/>
          <w:szCs w:val="24"/>
        </w:rPr>
        <w:t xml:space="preserve">March </w:t>
      </w:r>
      <w:r>
        <w:rPr>
          <w:rFonts w:cs="Arial"/>
          <w:sz w:val="24"/>
          <w:szCs w:val="24"/>
        </w:rPr>
        <w:t xml:space="preserve">22, </w:t>
      </w:r>
      <w:r w:rsidRPr="00947E30">
        <w:rPr>
          <w:rFonts w:cs="Arial"/>
          <w:sz w:val="24"/>
          <w:szCs w:val="24"/>
        </w:rPr>
        <w:t xml:space="preserve">2015 </w:t>
      </w:r>
      <w:r>
        <w:rPr>
          <w:rFonts w:cs="Arial"/>
          <w:sz w:val="24"/>
          <w:szCs w:val="24"/>
        </w:rPr>
        <w:t xml:space="preserve">– </w:t>
      </w:r>
      <w:r w:rsidRPr="00947E30">
        <w:rPr>
          <w:rFonts w:cs="Arial"/>
          <w:sz w:val="24"/>
          <w:szCs w:val="24"/>
        </w:rPr>
        <w:t>Sections B and C (former OARs 580-022-0015 and 0020) amended by the university president upon recommendation of the university senate</w:t>
      </w:r>
    </w:p>
    <w:p w14:paraId="60DB31A2" w14:textId="06E113F1" w:rsidR="00947E30" w:rsidRPr="00947E30" w:rsidRDefault="00947E30" w:rsidP="00947E30">
      <w:pPr>
        <w:spacing w:after="160" w:line="259" w:lineRule="auto"/>
        <w:contextualSpacing w:val="0"/>
        <w:jc w:val="both"/>
        <w:rPr>
          <w:rFonts w:cs="Arial"/>
          <w:sz w:val="24"/>
          <w:szCs w:val="24"/>
        </w:rPr>
      </w:pPr>
      <w:r w:rsidRPr="00947E30">
        <w:rPr>
          <w:rFonts w:cs="Arial"/>
          <w:sz w:val="24"/>
          <w:szCs w:val="24"/>
        </w:rPr>
        <w:t xml:space="preserve">July </w:t>
      </w:r>
      <w:r>
        <w:rPr>
          <w:rFonts w:cs="Arial"/>
          <w:sz w:val="24"/>
          <w:szCs w:val="24"/>
        </w:rPr>
        <w:t xml:space="preserve">1, </w:t>
      </w:r>
      <w:r w:rsidRPr="00947E30">
        <w:rPr>
          <w:rFonts w:cs="Arial"/>
          <w:sz w:val="24"/>
          <w:szCs w:val="24"/>
        </w:rPr>
        <w:t xml:space="preserve">2014 </w:t>
      </w:r>
      <w:r>
        <w:rPr>
          <w:rFonts w:cs="Arial"/>
          <w:sz w:val="24"/>
          <w:szCs w:val="24"/>
        </w:rPr>
        <w:t xml:space="preserve">– </w:t>
      </w:r>
      <w:r w:rsidRPr="00947E30">
        <w:rPr>
          <w:rFonts w:cs="Arial"/>
          <w:sz w:val="24"/>
          <w:szCs w:val="24"/>
        </w:rPr>
        <w:t>Became a University of Oregon Policy by operation of law</w:t>
      </w:r>
    </w:p>
    <w:p w14:paraId="33BEB073" w14:textId="77777777" w:rsidR="00947E30" w:rsidRDefault="00947E30" w:rsidP="00947E30">
      <w:pPr>
        <w:spacing w:after="160" w:line="259" w:lineRule="auto"/>
        <w:contextualSpacing w:val="0"/>
        <w:jc w:val="both"/>
        <w:rPr>
          <w:rFonts w:cs="Arial"/>
          <w:sz w:val="24"/>
          <w:szCs w:val="24"/>
        </w:rPr>
      </w:pPr>
      <w:r w:rsidRPr="00947E30">
        <w:rPr>
          <w:rFonts w:cs="Arial"/>
          <w:sz w:val="24"/>
          <w:szCs w:val="24"/>
        </w:rPr>
        <w:t>Former Oregon Administrative Rule Chapter 580 Division 22, Sections 0010-0020</w:t>
      </w:r>
    </w:p>
    <w:p w14:paraId="311BADD5" w14:textId="44E22BFF" w:rsidR="00A964B9" w:rsidRPr="00645810" w:rsidRDefault="00A964B9" w:rsidP="00947E30">
      <w:pPr>
        <w:spacing w:after="160" w:line="259" w:lineRule="auto"/>
        <w:contextualSpacing w:val="0"/>
        <w:jc w:val="both"/>
        <w:rPr>
          <w:sz w:val="24"/>
          <w:szCs w:val="24"/>
        </w:rPr>
      </w:pP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p>
    <w:p w14:paraId="0DE8923C" w14:textId="77777777" w:rsidR="00A964B9" w:rsidRPr="00645810" w:rsidRDefault="00AD50E4" w:rsidP="00A964B9">
      <w:pPr>
        <w:spacing w:after="160" w:line="259" w:lineRule="auto"/>
        <w:contextualSpacing w:val="0"/>
        <w:jc w:val="both"/>
        <w:rPr>
          <w:b/>
          <w:sz w:val="24"/>
          <w:szCs w:val="24"/>
        </w:rPr>
      </w:pPr>
      <w:r w:rsidRPr="00645810">
        <w:rPr>
          <w:b/>
          <w:sz w:val="24"/>
          <w:szCs w:val="24"/>
        </w:rPr>
        <w:t>Policy</w:t>
      </w:r>
    </w:p>
    <w:p w14:paraId="225092B8" w14:textId="77777777" w:rsidR="00947E30" w:rsidRPr="00947E30" w:rsidRDefault="00947E30" w:rsidP="00947E30">
      <w:pPr>
        <w:spacing w:after="160" w:line="259" w:lineRule="auto"/>
        <w:contextualSpacing w:val="0"/>
        <w:jc w:val="both"/>
        <w:rPr>
          <w:sz w:val="24"/>
          <w:szCs w:val="24"/>
        </w:rPr>
      </w:pPr>
      <w:r w:rsidRPr="00947E30">
        <w:rPr>
          <w:sz w:val="24"/>
          <w:szCs w:val="24"/>
        </w:rPr>
        <w:t>A. Political Activities and Campaigning</w:t>
      </w:r>
    </w:p>
    <w:p w14:paraId="08195664" w14:textId="77777777" w:rsidR="00947E30" w:rsidRPr="00947E30" w:rsidRDefault="00947E30" w:rsidP="00947E30">
      <w:pPr>
        <w:spacing w:after="160" w:line="259" w:lineRule="auto"/>
        <w:contextualSpacing w:val="0"/>
        <w:jc w:val="both"/>
        <w:rPr>
          <w:sz w:val="24"/>
          <w:szCs w:val="24"/>
        </w:rPr>
      </w:pPr>
      <w:r w:rsidRPr="00947E30">
        <w:rPr>
          <w:sz w:val="24"/>
          <w:szCs w:val="24"/>
        </w:rPr>
        <w:t xml:space="preserve">(1) In accordance with state law (ORS 260.432) and subject to limited exceptions, employees may not solicit any money, influence, service or other thing of value or otherwise promote or oppose </w:t>
      </w:r>
      <w:r w:rsidRPr="00947E30">
        <w:rPr>
          <w:sz w:val="24"/>
          <w:szCs w:val="24"/>
        </w:rPr>
        <w:lastRenderedPageBreak/>
        <w:t xml:space="preserve">any political committee; promote or oppose the nomination or election of a person to a public office; promote or oppose the filing of an initiative, referendum or recall petition; promote or oppose the gathering of signatures on an initiative, referendum or recall petition; or promote or oppose the adoption of a measure or the recall of a public office holder while on the job during working hours.  This section does not restrict the right of a public employee to express personal political views.  </w:t>
      </w:r>
    </w:p>
    <w:p w14:paraId="4F1400FC" w14:textId="77777777" w:rsidR="00947E30" w:rsidRPr="00947E30" w:rsidRDefault="00947E30" w:rsidP="00947E30">
      <w:pPr>
        <w:spacing w:after="160" w:line="259" w:lineRule="auto"/>
        <w:contextualSpacing w:val="0"/>
        <w:jc w:val="both"/>
        <w:rPr>
          <w:sz w:val="24"/>
          <w:szCs w:val="24"/>
        </w:rPr>
      </w:pPr>
      <w:r w:rsidRPr="00947E30">
        <w:rPr>
          <w:sz w:val="24"/>
          <w:szCs w:val="24"/>
        </w:rPr>
        <w:t>(2) No employee shall take action that might be construed as committing the institution or the Board to a position on public issues.</w:t>
      </w:r>
    </w:p>
    <w:p w14:paraId="4D76A866" w14:textId="77777777" w:rsidR="00947E30" w:rsidRPr="00947E30" w:rsidRDefault="00947E30" w:rsidP="00947E30">
      <w:pPr>
        <w:spacing w:after="160" w:line="259" w:lineRule="auto"/>
        <w:contextualSpacing w:val="0"/>
        <w:jc w:val="both"/>
        <w:rPr>
          <w:sz w:val="24"/>
          <w:szCs w:val="24"/>
        </w:rPr>
      </w:pPr>
      <w:r w:rsidRPr="00947E30">
        <w:rPr>
          <w:sz w:val="24"/>
          <w:szCs w:val="24"/>
        </w:rPr>
        <w:t>B. Candidates for Public Office</w:t>
      </w:r>
    </w:p>
    <w:p w14:paraId="5C273DA0" w14:textId="77777777" w:rsidR="00947E30" w:rsidRPr="00947E30" w:rsidRDefault="00947E30" w:rsidP="00947E30">
      <w:pPr>
        <w:spacing w:after="160" w:line="259" w:lineRule="auto"/>
        <w:contextualSpacing w:val="0"/>
        <w:jc w:val="both"/>
        <w:rPr>
          <w:sz w:val="24"/>
          <w:szCs w:val="24"/>
        </w:rPr>
      </w:pPr>
      <w:r w:rsidRPr="00947E30">
        <w:rPr>
          <w:sz w:val="24"/>
          <w:szCs w:val="24"/>
        </w:rPr>
        <w:t>(1) It is university policy to allow employees to seek political office and to serve in the event of election. Before an employee shall become a candidate for any public office, whether for a salaried or nonsalaried position, the employee is expected to consult with the President or designee.</w:t>
      </w:r>
    </w:p>
    <w:p w14:paraId="68740488" w14:textId="77777777" w:rsidR="00947E30" w:rsidRPr="00947E30" w:rsidRDefault="00947E30" w:rsidP="00947E30">
      <w:pPr>
        <w:spacing w:after="160" w:line="259" w:lineRule="auto"/>
        <w:contextualSpacing w:val="0"/>
        <w:jc w:val="both"/>
        <w:rPr>
          <w:sz w:val="24"/>
          <w:szCs w:val="24"/>
        </w:rPr>
      </w:pPr>
      <w:r w:rsidRPr="00947E30">
        <w:rPr>
          <w:sz w:val="24"/>
          <w:szCs w:val="24"/>
        </w:rPr>
        <w:t>(2) Political activity shall in no way interfere with the performance of the major duties prescribed by the university.</w:t>
      </w:r>
    </w:p>
    <w:p w14:paraId="45DEB457" w14:textId="77777777" w:rsidR="00947E30" w:rsidRPr="00947E30" w:rsidRDefault="00947E30" w:rsidP="00947E30">
      <w:pPr>
        <w:spacing w:after="160" w:line="259" w:lineRule="auto"/>
        <w:contextualSpacing w:val="0"/>
        <w:jc w:val="both"/>
        <w:rPr>
          <w:sz w:val="24"/>
          <w:szCs w:val="24"/>
        </w:rPr>
      </w:pPr>
      <w:r w:rsidRPr="00947E30">
        <w:rPr>
          <w:sz w:val="24"/>
          <w:szCs w:val="24"/>
        </w:rPr>
        <w:t>(3) Because circumstances under which a campaign is conducted will vary widely depending on the nature of the elective office and the extent of opposition, the determination of whether an employee may continue full-time duties while conducting or engaged in a campaign rests with the employee's President or designee. In the event of election to the State Legislature, an employee normally will be placed on leave of absence without pay during the period of full-time responsibility. If elected or appointed to a full-time salaried office, the employee may be placed on leave of absence without pay during the term of office or may be required to resign.</w:t>
      </w:r>
    </w:p>
    <w:p w14:paraId="0BB94CC5" w14:textId="77777777" w:rsidR="00947E30" w:rsidRPr="00947E30" w:rsidRDefault="00947E30" w:rsidP="00947E30">
      <w:pPr>
        <w:spacing w:after="160" w:line="259" w:lineRule="auto"/>
        <w:contextualSpacing w:val="0"/>
        <w:jc w:val="both"/>
        <w:rPr>
          <w:sz w:val="24"/>
          <w:szCs w:val="24"/>
        </w:rPr>
      </w:pPr>
      <w:r w:rsidRPr="00947E30">
        <w:rPr>
          <w:sz w:val="24"/>
          <w:szCs w:val="24"/>
        </w:rPr>
        <w:t>C. Relationships with Government Bodies and Policymakers</w:t>
      </w:r>
    </w:p>
    <w:p w14:paraId="5EC2C8E7" w14:textId="77777777" w:rsidR="00947E30" w:rsidRPr="00947E30" w:rsidRDefault="00947E30" w:rsidP="00947E30">
      <w:pPr>
        <w:spacing w:after="160" w:line="259" w:lineRule="auto"/>
        <w:contextualSpacing w:val="0"/>
        <w:jc w:val="both"/>
        <w:rPr>
          <w:sz w:val="24"/>
          <w:szCs w:val="24"/>
        </w:rPr>
      </w:pPr>
      <w:r w:rsidRPr="00947E30">
        <w:rPr>
          <w:sz w:val="24"/>
          <w:szCs w:val="24"/>
        </w:rPr>
        <w:t>(1) Except for the President and designees, no employee of the University is authorized to represent the university to the government bodies including but not limited to Congress and State Legislature or its members or committees, to the Office of the Governor, and to Executive branch officers, agencies, divisions or commissions.</w:t>
      </w:r>
    </w:p>
    <w:p w14:paraId="360DF056" w14:textId="6C323C0A" w:rsidR="00A964B9" w:rsidRPr="00645810" w:rsidRDefault="00947E30" w:rsidP="00947E30">
      <w:pPr>
        <w:spacing w:after="160" w:line="259" w:lineRule="auto"/>
        <w:contextualSpacing w:val="0"/>
        <w:jc w:val="both"/>
        <w:rPr>
          <w:sz w:val="24"/>
          <w:szCs w:val="24"/>
        </w:rPr>
      </w:pPr>
      <w:r w:rsidRPr="00947E30">
        <w:rPr>
          <w:sz w:val="24"/>
          <w:szCs w:val="24"/>
        </w:rPr>
        <w:t>(2) Nothing in this policy shall be construed as inhibiting an employee of the university from exercising the right of citizenship in a personal capacity, or be construed as inhibiting any employee of the university from appearing before a body of government identified in this policy in response to a request from that body.</w:t>
      </w:r>
    </w:p>
    <w:p w14:paraId="4FC9F240" w14:textId="77777777" w:rsidR="00A964B9" w:rsidRPr="00645810" w:rsidRDefault="00A964B9" w:rsidP="00A964B9">
      <w:pPr>
        <w:spacing w:after="160" w:line="259" w:lineRule="auto"/>
        <w:contextualSpacing w:val="0"/>
        <w:jc w:val="both"/>
        <w:rPr>
          <w:sz w:val="24"/>
          <w:szCs w:val="24"/>
        </w:rPr>
      </w:pP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rPr>
        <w:t xml:space="preserve"> </w:t>
      </w:r>
    </w:p>
    <w:p w14:paraId="115F6761" w14:textId="77777777" w:rsidR="00AD50E4" w:rsidRDefault="00AD50E4" w:rsidP="00AD50E4">
      <w:pPr>
        <w:spacing w:after="160" w:line="259" w:lineRule="auto"/>
        <w:contextualSpacing w:val="0"/>
        <w:jc w:val="both"/>
        <w:rPr>
          <w:b/>
          <w:sz w:val="24"/>
          <w:szCs w:val="24"/>
        </w:rPr>
      </w:pPr>
      <w:r w:rsidRPr="00645810">
        <w:rPr>
          <w:b/>
          <w:sz w:val="24"/>
          <w:szCs w:val="24"/>
        </w:rPr>
        <w:t>Related Resources</w:t>
      </w:r>
    </w:p>
    <w:p w14:paraId="5F8CB36E" w14:textId="17FA5E85" w:rsidR="00947E30" w:rsidRPr="00947E30" w:rsidRDefault="00947E30" w:rsidP="00AD50E4">
      <w:pPr>
        <w:spacing w:after="160" w:line="259" w:lineRule="auto"/>
        <w:contextualSpacing w:val="0"/>
        <w:jc w:val="both"/>
        <w:rPr>
          <w:bCs/>
          <w:sz w:val="24"/>
          <w:szCs w:val="24"/>
        </w:rPr>
      </w:pPr>
      <w:r w:rsidRPr="00947E30">
        <w:rPr>
          <w:bCs/>
          <w:sz w:val="24"/>
          <w:szCs w:val="24"/>
        </w:rPr>
        <w:lastRenderedPageBreak/>
        <w:t xml:space="preserve">Chapter 260 of the Oregon Revised Statutes (ORS) controls political campaigning by public employees. Available here: </w:t>
      </w:r>
      <w:hyperlink r:id="rId9" w:history="1">
        <w:r w:rsidRPr="00C01A94">
          <w:rPr>
            <w:rStyle w:val="Hyperlink"/>
            <w:bCs/>
            <w:sz w:val="24"/>
            <w:szCs w:val="24"/>
          </w:rPr>
          <w:t>https://www.oregonlegislature.gov/bills_laws/ors/ors260.html</w:t>
        </w:r>
      </w:hyperlink>
      <w:r w:rsidRPr="00947E30">
        <w:rPr>
          <w:bCs/>
          <w:sz w:val="24"/>
          <w:szCs w:val="24"/>
        </w:rPr>
        <w:t>.</w:t>
      </w:r>
    </w:p>
    <w:sectPr w:rsidR="00947E30" w:rsidRPr="00947E30" w:rsidSect="00322B90">
      <w:head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00793" w14:textId="77777777" w:rsidR="007E346F" w:rsidRDefault="007E346F" w:rsidP="000A0EEB">
      <w:r>
        <w:separator/>
      </w:r>
    </w:p>
  </w:endnote>
  <w:endnote w:type="continuationSeparator" w:id="0">
    <w:p w14:paraId="5FE148C0" w14:textId="77777777" w:rsidR="007E346F" w:rsidRDefault="007E346F" w:rsidP="000A0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C5C4D" w14:textId="77777777" w:rsidR="007E346F" w:rsidRDefault="007E346F" w:rsidP="000A0EEB">
      <w:r>
        <w:separator/>
      </w:r>
    </w:p>
  </w:footnote>
  <w:footnote w:type="continuationSeparator" w:id="0">
    <w:p w14:paraId="1BAD0A08" w14:textId="77777777" w:rsidR="007E346F" w:rsidRDefault="007E346F" w:rsidP="000A0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0CB08" w14:textId="440A303E" w:rsidR="009C504C" w:rsidRDefault="003F10CC" w:rsidP="00322B90">
    <w:pPr>
      <w:pStyle w:val="Header"/>
      <w:jc w:val="right"/>
      <w:rPr>
        <w:b/>
        <w:noProof/>
        <w:sz w:val="24"/>
        <w:szCs w:val="24"/>
      </w:rPr>
    </w:pPr>
    <w:r>
      <w:rPr>
        <w:b/>
        <w:noProof/>
        <w:sz w:val="24"/>
        <w:szCs w:val="24"/>
      </w:rPr>
      <w:t xml:space="preserve">University of Oregon Policy </w:t>
    </w:r>
    <w:r w:rsidR="00947E30">
      <w:rPr>
        <w:b/>
        <w:noProof/>
        <w:sz w:val="24"/>
        <w:szCs w:val="24"/>
      </w:rPr>
      <w:t>V.11.01</w:t>
    </w:r>
  </w:p>
  <w:p w14:paraId="39F9E3CC" w14:textId="3861520E" w:rsidR="00322B90" w:rsidRPr="003F10CC" w:rsidRDefault="00947E30" w:rsidP="00322B90">
    <w:pPr>
      <w:pStyle w:val="Header"/>
      <w:jc w:val="right"/>
      <w:rPr>
        <w:b/>
        <w:sz w:val="24"/>
        <w:szCs w:val="24"/>
      </w:rPr>
    </w:pPr>
    <w:r>
      <w:rPr>
        <w:b/>
        <w:sz w:val="24"/>
        <w:szCs w:val="24"/>
      </w:rPr>
      <w:t>Political Activities</w:t>
    </w:r>
  </w:p>
  <w:p w14:paraId="42A4E68C" w14:textId="77777777" w:rsidR="00322B90" w:rsidRPr="003F10CC" w:rsidRDefault="00322B90" w:rsidP="00322B90">
    <w:pPr>
      <w:pStyle w:val="Header"/>
      <w:jc w:val="right"/>
      <w:rPr>
        <w:b/>
        <w:sz w:val="24"/>
        <w:szCs w:val="24"/>
      </w:rPr>
    </w:pPr>
    <w:r w:rsidRPr="003F10CC">
      <w:rPr>
        <w:b/>
        <w:sz w:val="24"/>
        <w:szCs w:val="24"/>
      </w:rPr>
      <w:t xml:space="preserve">Page </w:t>
    </w:r>
    <w:r w:rsidRPr="003F10CC">
      <w:rPr>
        <w:b/>
        <w:bCs/>
        <w:sz w:val="24"/>
        <w:szCs w:val="24"/>
      </w:rPr>
      <w:fldChar w:fldCharType="begin"/>
    </w:r>
    <w:r w:rsidRPr="003F10CC">
      <w:rPr>
        <w:b/>
        <w:bCs/>
        <w:sz w:val="24"/>
        <w:szCs w:val="24"/>
      </w:rPr>
      <w:instrText xml:space="preserve"> PAGE  \* Arabic  \* MERGEFORMAT </w:instrText>
    </w:r>
    <w:r w:rsidRPr="003F10CC">
      <w:rPr>
        <w:b/>
        <w:bCs/>
        <w:sz w:val="24"/>
        <w:szCs w:val="24"/>
      </w:rPr>
      <w:fldChar w:fldCharType="separate"/>
    </w:r>
    <w:r w:rsidR="007400F3">
      <w:rPr>
        <w:b/>
        <w:bCs/>
        <w:noProof/>
        <w:sz w:val="24"/>
        <w:szCs w:val="24"/>
      </w:rPr>
      <w:t>1</w:t>
    </w:r>
    <w:r w:rsidRPr="003F10CC">
      <w:rPr>
        <w:b/>
        <w:bCs/>
        <w:sz w:val="24"/>
        <w:szCs w:val="24"/>
      </w:rPr>
      <w:fldChar w:fldCharType="end"/>
    </w:r>
    <w:r w:rsidRPr="003F10CC">
      <w:rPr>
        <w:b/>
        <w:sz w:val="24"/>
        <w:szCs w:val="24"/>
      </w:rPr>
      <w:t xml:space="preserve"> of </w:t>
    </w:r>
    <w:r w:rsidRPr="003F10CC">
      <w:rPr>
        <w:b/>
        <w:bCs/>
        <w:sz w:val="24"/>
        <w:szCs w:val="24"/>
      </w:rPr>
      <w:fldChar w:fldCharType="begin"/>
    </w:r>
    <w:r w:rsidRPr="003F10CC">
      <w:rPr>
        <w:b/>
        <w:bCs/>
        <w:sz w:val="24"/>
        <w:szCs w:val="24"/>
      </w:rPr>
      <w:instrText xml:space="preserve"> NUMPAGES  \* Arabic  \* MERGEFORMAT </w:instrText>
    </w:r>
    <w:r w:rsidRPr="003F10CC">
      <w:rPr>
        <w:b/>
        <w:bCs/>
        <w:sz w:val="24"/>
        <w:szCs w:val="24"/>
      </w:rPr>
      <w:fldChar w:fldCharType="separate"/>
    </w:r>
    <w:r w:rsidR="007400F3">
      <w:rPr>
        <w:b/>
        <w:bCs/>
        <w:noProof/>
        <w:sz w:val="24"/>
        <w:szCs w:val="24"/>
      </w:rPr>
      <w:t>1</w:t>
    </w:r>
    <w:r w:rsidRPr="003F10CC">
      <w:rPr>
        <w:b/>
        <w:bCs/>
        <w:sz w:val="24"/>
        <w:szCs w:val="24"/>
      </w:rPr>
      <w:fldChar w:fldCharType="end"/>
    </w:r>
  </w:p>
  <w:p w14:paraId="4B2D4FBE" w14:textId="77777777" w:rsidR="00F83F10" w:rsidRPr="00322B90" w:rsidRDefault="00F83F10" w:rsidP="00322B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B8C15" w14:textId="77777777" w:rsidR="00322B90" w:rsidRPr="000A0EEB" w:rsidRDefault="00322B90" w:rsidP="000A0EEB">
    <w:pPr>
      <w:pStyle w:val="Header"/>
      <w:jc w:val="right"/>
      <w:rPr>
        <w:b/>
        <w:sz w:val="28"/>
        <w:szCs w:val="28"/>
      </w:rPr>
    </w:pPr>
  </w:p>
  <w:p w14:paraId="3E49BDCC" w14:textId="77777777" w:rsidR="000A0EEB" w:rsidRDefault="000A0E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EEB"/>
    <w:rsid w:val="000509CC"/>
    <w:rsid w:val="000514F9"/>
    <w:rsid w:val="00085E67"/>
    <w:rsid w:val="000A0EEB"/>
    <w:rsid w:val="001C2D71"/>
    <w:rsid w:val="002E566B"/>
    <w:rsid w:val="00322B90"/>
    <w:rsid w:val="0034300B"/>
    <w:rsid w:val="00380C20"/>
    <w:rsid w:val="003F10CC"/>
    <w:rsid w:val="00645810"/>
    <w:rsid w:val="006B1756"/>
    <w:rsid w:val="006D5021"/>
    <w:rsid w:val="006D6600"/>
    <w:rsid w:val="007400F3"/>
    <w:rsid w:val="007E346F"/>
    <w:rsid w:val="008D7A66"/>
    <w:rsid w:val="00947E30"/>
    <w:rsid w:val="009C504C"/>
    <w:rsid w:val="009F503A"/>
    <w:rsid w:val="00A964B9"/>
    <w:rsid w:val="00AD50E4"/>
    <w:rsid w:val="00AE59B8"/>
    <w:rsid w:val="00AF2216"/>
    <w:rsid w:val="00CB32E9"/>
    <w:rsid w:val="00D23441"/>
    <w:rsid w:val="00D454E4"/>
    <w:rsid w:val="00E314A3"/>
    <w:rsid w:val="00F83F10"/>
    <w:rsid w:val="00F90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C209D8B"/>
  <w15:chartTrackingRefBased/>
  <w15:docId w15:val="{C2B3E677-118C-4F86-B97A-D3F04BD3F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4E4"/>
    <w:pPr>
      <w:spacing w:after="0" w:line="240" w:lineRule="auto"/>
      <w:contextualSpacing/>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54E4"/>
    <w:pPr>
      <w:spacing w:after="0" w:line="240" w:lineRule="auto"/>
      <w:contextualSpacing/>
    </w:pPr>
  </w:style>
  <w:style w:type="paragraph" w:styleId="Header">
    <w:name w:val="header"/>
    <w:basedOn w:val="Normal"/>
    <w:link w:val="HeaderChar"/>
    <w:uiPriority w:val="99"/>
    <w:unhideWhenUsed/>
    <w:rsid w:val="000A0EEB"/>
    <w:pPr>
      <w:tabs>
        <w:tab w:val="center" w:pos="4680"/>
        <w:tab w:val="right" w:pos="9360"/>
      </w:tabs>
    </w:pPr>
  </w:style>
  <w:style w:type="character" w:customStyle="1" w:styleId="HeaderChar">
    <w:name w:val="Header Char"/>
    <w:basedOn w:val="DefaultParagraphFont"/>
    <w:link w:val="Header"/>
    <w:uiPriority w:val="99"/>
    <w:rsid w:val="000A0EEB"/>
  </w:style>
  <w:style w:type="paragraph" w:styleId="Footer">
    <w:name w:val="footer"/>
    <w:basedOn w:val="Normal"/>
    <w:link w:val="FooterChar"/>
    <w:uiPriority w:val="99"/>
    <w:unhideWhenUsed/>
    <w:rsid w:val="000A0EEB"/>
    <w:pPr>
      <w:tabs>
        <w:tab w:val="center" w:pos="4680"/>
        <w:tab w:val="right" w:pos="9360"/>
      </w:tabs>
    </w:pPr>
  </w:style>
  <w:style w:type="character" w:customStyle="1" w:styleId="FooterChar">
    <w:name w:val="Footer Char"/>
    <w:basedOn w:val="DefaultParagraphFont"/>
    <w:link w:val="Footer"/>
    <w:uiPriority w:val="99"/>
    <w:rsid w:val="000A0EEB"/>
  </w:style>
  <w:style w:type="character" w:styleId="Hyperlink">
    <w:name w:val="Hyperlink"/>
    <w:basedOn w:val="DefaultParagraphFont"/>
    <w:uiPriority w:val="99"/>
    <w:unhideWhenUsed/>
    <w:rsid w:val="000A0EEB"/>
    <w:rPr>
      <w:color w:val="0563C1" w:themeColor="hyperlink"/>
      <w:u w:val="single"/>
    </w:rPr>
  </w:style>
  <w:style w:type="paragraph" w:styleId="FootnoteText">
    <w:name w:val="footnote text"/>
    <w:basedOn w:val="Normal"/>
    <w:link w:val="FootnoteTextChar"/>
    <w:uiPriority w:val="99"/>
    <w:semiHidden/>
    <w:unhideWhenUsed/>
    <w:rsid w:val="000A0EEB"/>
    <w:rPr>
      <w:sz w:val="20"/>
      <w:szCs w:val="20"/>
    </w:rPr>
  </w:style>
  <w:style w:type="character" w:customStyle="1" w:styleId="FootnoteTextChar">
    <w:name w:val="Footnote Text Char"/>
    <w:basedOn w:val="DefaultParagraphFont"/>
    <w:link w:val="FootnoteText"/>
    <w:uiPriority w:val="99"/>
    <w:semiHidden/>
    <w:rsid w:val="000A0EEB"/>
    <w:rPr>
      <w:sz w:val="20"/>
      <w:szCs w:val="20"/>
    </w:rPr>
  </w:style>
  <w:style w:type="character" w:styleId="FootnoteReference">
    <w:name w:val="footnote reference"/>
    <w:basedOn w:val="DefaultParagraphFont"/>
    <w:uiPriority w:val="99"/>
    <w:semiHidden/>
    <w:unhideWhenUsed/>
    <w:rsid w:val="000A0EEB"/>
    <w:rPr>
      <w:vertAlign w:val="superscript"/>
    </w:rPr>
  </w:style>
  <w:style w:type="paragraph" w:styleId="BalloonText">
    <w:name w:val="Balloon Text"/>
    <w:basedOn w:val="Normal"/>
    <w:link w:val="BalloonTextChar"/>
    <w:uiPriority w:val="99"/>
    <w:semiHidden/>
    <w:unhideWhenUsed/>
    <w:rsid w:val="000514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4F9"/>
    <w:rPr>
      <w:rFonts w:ascii="Segoe UI" w:hAnsi="Segoe UI" w:cs="Segoe UI"/>
      <w:sz w:val="18"/>
      <w:szCs w:val="18"/>
    </w:rPr>
  </w:style>
  <w:style w:type="character" w:styleId="UnresolvedMention">
    <w:name w:val="Unresolved Mention"/>
    <w:basedOn w:val="DefaultParagraphFont"/>
    <w:uiPriority w:val="99"/>
    <w:semiHidden/>
    <w:unhideWhenUsed/>
    <w:rsid w:val="00947E30"/>
    <w:rPr>
      <w:color w:val="605E5C"/>
      <w:shd w:val="clear" w:color="auto" w:fill="E1DFDD"/>
    </w:rPr>
  </w:style>
  <w:style w:type="character" w:styleId="CommentReference">
    <w:name w:val="annotation reference"/>
    <w:basedOn w:val="DefaultParagraphFont"/>
    <w:uiPriority w:val="99"/>
    <w:semiHidden/>
    <w:unhideWhenUsed/>
    <w:rsid w:val="002E566B"/>
    <w:rPr>
      <w:sz w:val="16"/>
      <w:szCs w:val="16"/>
    </w:rPr>
  </w:style>
  <w:style w:type="paragraph" w:styleId="CommentText">
    <w:name w:val="annotation text"/>
    <w:basedOn w:val="Normal"/>
    <w:link w:val="CommentTextChar"/>
    <w:uiPriority w:val="99"/>
    <w:unhideWhenUsed/>
    <w:rsid w:val="002E566B"/>
    <w:rPr>
      <w:sz w:val="20"/>
      <w:szCs w:val="20"/>
    </w:rPr>
  </w:style>
  <w:style w:type="character" w:customStyle="1" w:styleId="CommentTextChar">
    <w:name w:val="Comment Text Char"/>
    <w:basedOn w:val="DefaultParagraphFont"/>
    <w:link w:val="CommentText"/>
    <w:uiPriority w:val="99"/>
    <w:rsid w:val="002E566B"/>
    <w:rPr>
      <w:sz w:val="20"/>
      <w:szCs w:val="20"/>
    </w:rPr>
  </w:style>
  <w:style w:type="paragraph" w:styleId="CommentSubject">
    <w:name w:val="annotation subject"/>
    <w:basedOn w:val="CommentText"/>
    <w:next w:val="CommentText"/>
    <w:link w:val="CommentSubjectChar"/>
    <w:uiPriority w:val="99"/>
    <w:semiHidden/>
    <w:unhideWhenUsed/>
    <w:rsid w:val="002E566B"/>
    <w:rPr>
      <w:b/>
      <w:bCs/>
    </w:rPr>
  </w:style>
  <w:style w:type="character" w:customStyle="1" w:styleId="CommentSubjectChar">
    <w:name w:val="Comment Subject Char"/>
    <w:basedOn w:val="CommentTextChar"/>
    <w:link w:val="CommentSubject"/>
    <w:uiPriority w:val="99"/>
    <w:semiHidden/>
    <w:rsid w:val="002E56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lutz@uoregon.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olicies.uoregon.edu/vol-5-human-resources/ch-11-human-resources-other/political-activit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oregonlegislature.gov/bills_laws/ors/ors26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0914A-7D20-4143-B6B8-23E347EF2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655</Words>
  <Characters>3683</Characters>
  <Application>Microsoft Office Word</Application>
  <DocSecurity>0</DocSecurity>
  <Lines>70</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Wilhelms</dc:creator>
  <cp:keywords/>
  <dc:description/>
  <cp:lastModifiedBy>Jennifer LaBelle</cp:lastModifiedBy>
  <cp:revision>6</cp:revision>
  <cp:lastPrinted>2014-10-14T00:15:00Z</cp:lastPrinted>
  <dcterms:created xsi:type="dcterms:W3CDTF">2026-02-18T23:55:00Z</dcterms:created>
  <dcterms:modified xsi:type="dcterms:W3CDTF">2026-04-06T17:01:00Z</dcterms:modified>
</cp:coreProperties>
</file>